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DEF2" w14:textId="3ACB4B23" w:rsidR="00BB1A15" w:rsidRPr="001E2C18" w:rsidRDefault="00151115" w:rsidP="00151115">
      <w:pPr>
        <w:spacing w:line="360" w:lineRule="auto"/>
        <w:jc w:val="both"/>
        <w:rPr>
          <w:rFonts w:ascii="Arial" w:hAnsi="Arial" w:cs="Arial"/>
          <w:b/>
          <w:bCs/>
          <w:sz w:val="24"/>
          <w:szCs w:val="24"/>
          <w:u w:val="single"/>
        </w:rPr>
      </w:pPr>
      <w:r w:rsidRPr="001E2C18">
        <w:rPr>
          <w:rFonts w:ascii="Arial" w:hAnsi="Arial" w:cs="Arial"/>
          <w:b/>
          <w:bCs/>
          <w:sz w:val="24"/>
          <w:szCs w:val="24"/>
          <w:u w:val="single"/>
        </w:rPr>
        <w:t>Sangeeta Reedy Case Analysis and Research</w:t>
      </w:r>
    </w:p>
    <w:p w14:paraId="3DD73202" w14:textId="19CE282F" w:rsidR="00E93631" w:rsidRPr="00E93631" w:rsidRDefault="00E93631" w:rsidP="00151115">
      <w:pPr>
        <w:spacing w:line="360" w:lineRule="auto"/>
        <w:jc w:val="both"/>
        <w:rPr>
          <w:rFonts w:ascii="Arial" w:hAnsi="Arial" w:cs="Arial"/>
          <w:b/>
          <w:bCs/>
          <w:sz w:val="24"/>
          <w:szCs w:val="24"/>
        </w:rPr>
      </w:pPr>
      <w:r w:rsidRPr="00E93631">
        <w:rPr>
          <w:rFonts w:ascii="Arial" w:hAnsi="Arial" w:cs="Arial"/>
          <w:sz w:val="24"/>
          <w:szCs w:val="24"/>
        </w:rPr>
        <w:t xml:space="preserve">The Plaintiff filed their Originating Summons pursuant to </w:t>
      </w:r>
      <w:r w:rsidRPr="00E93631">
        <w:rPr>
          <w:rFonts w:ascii="Arial" w:hAnsi="Arial" w:cs="Arial"/>
          <w:b/>
          <w:bCs/>
          <w:sz w:val="24"/>
          <w:szCs w:val="24"/>
        </w:rPr>
        <w:t>High Court Rules Or 31 r 1 and r 2 (1), (2)</w:t>
      </w:r>
      <w:r w:rsidRPr="00E93631">
        <w:rPr>
          <w:rFonts w:ascii="Arial" w:hAnsi="Arial" w:cs="Arial"/>
          <w:sz w:val="24"/>
          <w:szCs w:val="24"/>
        </w:rPr>
        <w:t xml:space="preserve">, </w:t>
      </w:r>
      <w:r w:rsidRPr="00E93631">
        <w:rPr>
          <w:rFonts w:ascii="Arial" w:hAnsi="Arial" w:cs="Arial"/>
          <w:b/>
          <w:bCs/>
          <w:sz w:val="24"/>
          <w:szCs w:val="24"/>
        </w:rPr>
        <w:t>Property Law Act section 86 (2) and Land Transfer Act section 105.</w:t>
      </w:r>
    </w:p>
    <w:p w14:paraId="529B52C7" w14:textId="1B2D8F17" w:rsidR="00151115" w:rsidRPr="001E2C18" w:rsidRDefault="00151115" w:rsidP="00151115">
      <w:pPr>
        <w:spacing w:line="360" w:lineRule="auto"/>
        <w:jc w:val="both"/>
        <w:rPr>
          <w:rFonts w:ascii="Arial" w:hAnsi="Arial" w:cs="Arial"/>
          <w:sz w:val="24"/>
          <w:szCs w:val="24"/>
        </w:rPr>
      </w:pPr>
      <w:r w:rsidRPr="001E2C18">
        <w:rPr>
          <w:rFonts w:ascii="Arial" w:hAnsi="Arial" w:cs="Arial"/>
          <w:sz w:val="24"/>
          <w:szCs w:val="24"/>
        </w:rPr>
        <w:t xml:space="preserve">Process of carrying out the Sale: </w:t>
      </w:r>
      <w:r w:rsidR="001E2C18" w:rsidRPr="001E2C18">
        <w:rPr>
          <w:rFonts w:ascii="Arial" w:hAnsi="Arial" w:cs="Arial"/>
          <w:b/>
          <w:bCs/>
          <w:sz w:val="24"/>
          <w:szCs w:val="24"/>
        </w:rPr>
        <w:t>High Court Rules</w:t>
      </w:r>
      <w:r w:rsidR="001E2C18">
        <w:rPr>
          <w:rFonts w:ascii="Arial" w:hAnsi="Arial" w:cs="Arial"/>
          <w:sz w:val="24"/>
          <w:szCs w:val="24"/>
        </w:rPr>
        <w:t xml:space="preserve"> </w:t>
      </w:r>
      <w:r w:rsidRPr="001E2C18">
        <w:rPr>
          <w:rFonts w:ascii="Arial" w:hAnsi="Arial" w:cs="Arial"/>
          <w:b/>
          <w:bCs/>
          <w:sz w:val="24"/>
          <w:szCs w:val="24"/>
        </w:rPr>
        <w:t xml:space="preserve">(Order 31 </w:t>
      </w:r>
      <w:r w:rsidR="00F43015">
        <w:rPr>
          <w:rFonts w:ascii="Arial" w:hAnsi="Arial" w:cs="Arial"/>
          <w:b/>
          <w:bCs/>
          <w:sz w:val="24"/>
          <w:szCs w:val="24"/>
        </w:rPr>
        <w:t>r 2</w:t>
      </w:r>
      <w:r w:rsidR="001E2C18">
        <w:rPr>
          <w:rFonts w:ascii="Arial" w:hAnsi="Arial" w:cs="Arial"/>
          <w:b/>
          <w:bCs/>
          <w:sz w:val="24"/>
          <w:szCs w:val="24"/>
        </w:rPr>
        <w:t xml:space="preserve"> </w:t>
      </w:r>
      <w:r w:rsidRPr="001E2C18">
        <w:rPr>
          <w:rFonts w:ascii="Arial" w:hAnsi="Arial" w:cs="Arial"/>
          <w:b/>
          <w:bCs/>
          <w:sz w:val="24"/>
          <w:szCs w:val="24"/>
        </w:rPr>
        <w:t>(1), (2))</w:t>
      </w:r>
    </w:p>
    <w:p w14:paraId="22399722" w14:textId="6293C0F1" w:rsidR="00151115" w:rsidRPr="001E2C18" w:rsidRDefault="00151115" w:rsidP="00151115">
      <w:pPr>
        <w:spacing w:line="360" w:lineRule="auto"/>
        <w:jc w:val="both"/>
        <w:rPr>
          <w:rFonts w:ascii="Arial" w:hAnsi="Arial" w:cs="Arial"/>
          <w:sz w:val="24"/>
          <w:szCs w:val="24"/>
        </w:rPr>
      </w:pPr>
      <w:r w:rsidRPr="001E2C18">
        <w:rPr>
          <w:rFonts w:ascii="Arial" w:hAnsi="Arial" w:cs="Arial"/>
          <w:b/>
          <w:bCs/>
          <w:sz w:val="24"/>
          <w:szCs w:val="24"/>
        </w:rPr>
        <w:t>Note</w:t>
      </w:r>
      <w:r w:rsidRPr="001E2C18">
        <w:rPr>
          <w:rFonts w:ascii="Arial" w:hAnsi="Arial" w:cs="Arial"/>
          <w:sz w:val="24"/>
          <w:szCs w:val="24"/>
        </w:rPr>
        <w:t>: The Court may permit the party or person having the conduct of the sale of land in such manner they think fit or may direct the land to be sold in such a manner.</w:t>
      </w:r>
    </w:p>
    <w:p w14:paraId="7B9C1119" w14:textId="1E084091" w:rsidR="00151115" w:rsidRPr="001E2C18" w:rsidRDefault="00151115">
      <w:pPr>
        <w:rPr>
          <w:rFonts w:ascii="Arial" w:hAnsi="Arial" w:cs="Arial"/>
          <w:b/>
          <w:bCs/>
          <w:sz w:val="24"/>
          <w:szCs w:val="24"/>
        </w:rPr>
      </w:pPr>
      <w:r w:rsidRPr="001E2C18">
        <w:rPr>
          <w:rFonts w:ascii="Arial" w:hAnsi="Arial" w:cs="Arial"/>
          <w:b/>
          <w:bCs/>
          <w:sz w:val="24"/>
          <w:szCs w:val="24"/>
        </w:rPr>
        <w:t>AND:</w:t>
      </w:r>
    </w:p>
    <w:p w14:paraId="7F7D5602" w14:textId="5F6EEE82" w:rsidR="00151115" w:rsidRPr="001E2C18" w:rsidRDefault="00151115">
      <w:pPr>
        <w:rPr>
          <w:rFonts w:ascii="Arial" w:hAnsi="Arial" w:cs="Arial"/>
          <w:sz w:val="24"/>
          <w:szCs w:val="24"/>
        </w:rPr>
      </w:pPr>
      <w:r w:rsidRPr="001E2C18">
        <w:rPr>
          <w:rFonts w:ascii="Arial" w:hAnsi="Arial" w:cs="Arial"/>
          <w:sz w:val="24"/>
          <w:szCs w:val="24"/>
        </w:rPr>
        <w:t>All parties shall join in the sale and conveyance as the Court shall direct.</w:t>
      </w:r>
    </w:p>
    <w:p w14:paraId="28BF56E6" w14:textId="2304D4CA" w:rsidR="00151115" w:rsidRPr="001E2C18" w:rsidRDefault="00151115" w:rsidP="00151115">
      <w:pPr>
        <w:pStyle w:val="ListParagraph"/>
        <w:numPr>
          <w:ilvl w:val="0"/>
          <w:numId w:val="1"/>
        </w:numPr>
        <w:rPr>
          <w:rFonts w:ascii="Arial" w:hAnsi="Arial" w:cs="Arial"/>
          <w:color w:val="EE0000"/>
          <w:sz w:val="24"/>
          <w:szCs w:val="24"/>
        </w:rPr>
      </w:pPr>
      <w:r w:rsidRPr="001E2C18">
        <w:rPr>
          <w:rFonts w:ascii="Arial" w:hAnsi="Arial" w:cs="Arial"/>
          <w:color w:val="EE0000"/>
          <w:sz w:val="24"/>
          <w:szCs w:val="24"/>
        </w:rPr>
        <w:t xml:space="preserve">In this case, the Plaintiff has </w:t>
      </w:r>
      <w:r w:rsidR="009E37D5" w:rsidRPr="001E2C18">
        <w:rPr>
          <w:rFonts w:ascii="Arial" w:hAnsi="Arial" w:cs="Arial"/>
          <w:color w:val="EE0000"/>
          <w:sz w:val="24"/>
          <w:szCs w:val="24"/>
        </w:rPr>
        <w:t xml:space="preserve">exercised the first option by </w:t>
      </w:r>
      <w:r w:rsidRPr="001E2C18">
        <w:rPr>
          <w:rFonts w:ascii="Arial" w:hAnsi="Arial" w:cs="Arial"/>
          <w:color w:val="EE0000"/>
          <w:sz w:val="24"/>
          <w:szCs w:val="24"/>
        </w:rPr>
        <w:t>la</w:t>
      </w:r>
      <w:r w:rsidR="009E37D5" w:rsidRPr="001E2C18">
        <w:rPr>
          <w:rFonts w:ascii="Arial" w:hAnsi="Arial" w:cs="Arial"/>
          <w:color w:val="EE0000"/>
          <w:sz w:val="24"/>
          <w:szCs w:val="24"/>
        </w:rPr>
        <w:t>ying</w:t>
      </w:r>
      <w:r w:rsidRPr="001E2C18">
        <w:rPr>
          <w:rFonts w:ascii="Arial" w:hAnsi="Arial" w:cs="Arial"/>
          <w:color w:val="EE0000"/>
          <w:sz w:val="24"/>
          <w:szCs w:val="24"/>
        </w:rPr>
        <w:t xml:space="preserve"> down the manner in which the Sale should be carried out.</w:t>
      </w:r>
    </w:p>
    <w:p w14:paraId="1B2C78F1" w14:textId="1FE15386" w:rsidR="009E37D5" w:rsidRPr="001E2C18" w:rsidRDefault="009E37D5" w:rsidP="009E37D5">
      <w:pPr>
        <w:spacing w:line="360" w:lineRule="auto"/>
        <w:jc w:val="both"/>
        <w:rPr>
          <w:rFonts w:ascii="Arial" w:hAnsi="Arial" w:cs="Arial"/>
          <w:sz w:val="24"/>
          <w:szCs w:val="24"/>
        </w:rPr>
      </w:pPr>
      <w:r w:rsidRPr="001E2C18">
        <w:rPr>
          <w:rFonts w:ascii="Arial" w:hAnsi="Arial" w:cs="Arial"/>
          <w:sz w:val="24"/>
          <w:szCs w:val="24"/>
        </w:rPr>
        <w:t>The manner is as follows:</w:t>
      </w:r>
    </w:p>
    <w:p w14:paraId="2443F30A" w14:textId="6DC0A2C2" w:rsidR="009E37D5" w:rsidRPr="001E2C18" w:rsidRDefault="009E37D5"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Appointing the Plaintiff who is to have the conduct of the Sale;</w:t>
      </w:r>
    </w:p>
    <w:p w14:paraId="4EA86B1F" w14:textId="61C42CE6" w:rsidR="009E37D5" w:rsidRPr="001E2C18" w:rsidRDefault="009E37D5"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Fixing the manner of the Sale to be by way of tender;</w:t>
      </w:r>
    </w:p>
    <w:p w14:paraId="7266E320" w14:textId="0A8E214D" w:rsidR="009E37D5" w:rsidRPr="001E2C18" w:rsidRDefault="009E37D5"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Fixing a minimum price (if required);</w:t>
      </w:r>
    </w:p>
    <w:p w14:paraId="35EB1DA9" w14:textId="3DC901D4" w:rsidR="009E37D5" w:rsidRPr="001E2C18" w:rsidRDefault="009E37D5"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Requiring the payment of the purchase money into Court or to such other person as the Court may direct;</w:t>
      </w:r>
    </w:p>
    <w:p w14:paraId="3E1018A4" w14:textId="7AA41DBE" w:rsidR="009E37D5" w:rsidRPr="001E2C18" w:rsidRDefault="009E37D5"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Obtaining value of the evidence of the property and;</w:t>
      </w:r>
    </w:p>
    <w:p w14:paraId="394352AD" w14:textId="44284354" w:rsidR="009E37D5" w:rsidRPr="001E2C18" w:rsidRDefault="001E2C18" w:rsidP="009E37D5">
      <w:pPr>
        <w:pStyle w:val="ListParagraph"/>
        <w:numPr>
          <w:ilvl w:val="0"/>
          <w:numId w:val="2"/>
        </w:numPr>
        <w:spacing w:line="360" w:lineRule="auto"/>
        <w:jc w:val="both"/>
        <w:rPr>
          <w:rFonts w:ascii="Arial" w:hAnsi="Arial" w:cs="Arial"/>
          <w:sz w:val="24"/>
          <w:szCs w:val="24"/>
        </w:rPr>
      </w:pPr>
      <w:r w:rsidRPr="001E2C18">
        <w:rPr>
          <w:rFonts w:ascii="Arial" w:hAnsi="Arial" w:cs="Arial"/>
          <w:sz w:val="24"/>
          <w:szCs w:val="24"/>
        </w:rPr>
        <w:t>Any such other direction as the Court thinks fit for the purpose of effecting the sale.</w:t>
      </w:r>
    </w:p>
    <w:p w14:paraId="766A4471" w14:textId="3423819A" w:rsidR="001E2C18" w:rsidRDefault="001E2C18" w:rsidP="001E2C18">
      <w:pPr>
        <w:spacing w:line="360" w:lineRule="auto"/>
        <w:jc w:val="both"/>
        <w:rPr>
          <w:rFonts w:ascii="Arial" w:hAnsi="Arial" w:cs="Arial"/>
          <w:color w:val="EE0000"/>
          <w:sz w:val="24"/>
          <w:szCs w:val="24"/>
        </w:rPr>
      </w:pPr>
      <w:r w:rsidRPr="001E2C18">
        <w:rPr>
          <w:rFonts w:ascii="Arial" w:hAnsi="Arial" w:cs="Arial"/>
          <w:color w:val="EE0000"/>
          <w:sz w:val="24"/>
          <w:szCs w:val="24"/>
        </w:rPr>
        <w:t>The above is taken from the Plaintiff’s Originating Summons (Enforcement of Char</w:t>
      </w:r>
      <w:r>
        <w:rPr>
          <w:rFonts w:ascii="Arial" w:hAnsi="Arial" w:cs="Arial"/>
          <w:color w:val="EE0000"/>
          <w:sz w:val="24"/>
          <w:szCs w:val="24"/>
        </w:rPr>
        <w:t>g</w:t>
      </w:r>
      <w:r w:rsidRPr="001E2C18">
        <w:rPr>
          <w:rFonts w:ascii="Arial" w:hAnsi="Arial" w:cs="Arial"/>
          <w:color w:val="EE0000"/>
          <w:sz w:val="24"/>
          <w:szCs w:val="24"/>
        </w:rPr>
        <w:t>ing Order by Sale). We do not have the judgement for the same in the file</w:t>
      </w:r>
      <w:r>
        <w:rPr>
          <w:rFonts w:ascii="Arial" w:hAnsi="Arial" w:cs="Arial"/>
          <w:color w:val="EE0000"/>
          <w:sz w:val="24"/>
          <w:szCs w:val="24"/>
        </w:rPr>
        <w:t xml:space="preserve"> thus we need to clarify with the Plaintiffs.</w:t>
      </w:r>
    </w:p>
    <w:p w14:paraId="06FC7B57" w14:textId="09E3EC91" w:rsidR="00F75B78" w:rsidRPr="00A572D4" w:rsidRDefault="00E93631" w:rsidP="001E2C18">
      <w:pPr>
        <w:spacing w:line="360" w:lineRule="auto"/>
        <w:jc w:val="both"/>
        <w:rPr>
          <w:rFonts w:ascii="Arial" w:hAnsi="Arial" w:cs="Arial"/>
          <w:b/>
          <w:bCs/>
          <w:color w:val="000000" w:themeColor="text1"/>
          <w:sz w:val="24"/>
          <w:szCs w:val="24"/>
          <w:u w:val="single"/>
        </w:rPr>
      </w:pPr>
      <w:r w:rsidRPr="00A572D4">
        <w:rPr>
          <w:rFonts w:ascii="Arial" w:hAnsi="Arial" w:cs="Arial"/>
          <w:b/>
          <w:bCs/>
          <w:color w:val="000000" w:themeColor="text1"/>
          <w:sz w:val="24"/>
          <w:szCs w:val="24"/>
          <w:u w:val="single"/>
        </w:rPr>
        <w:t>WAYS IN WHICH WE CAN OPPOSE:</w:t>
      </w:r>
    </w:p>
    <w:p w14:paraId="466958B4" w14:textId="6AC42BFB" w:rsidR="00A572D4" w:rsidRDefault="0058461E" w:rsidP="00A572D4">
      <w:pPr>
        <w:pStyle w:val="ListParagraph"/>
        <w:numPr>
          <w:ilvl w:val="0"/>
          <w:numId w:val="5"/>
        </w:numPr>
        <w:spacing w:line="360" w:lineRule="auto"/>
        <w:jc w:val="both"/>
        <w:rPr>
          <w:rFonts w:ascii="Arial" w:hAnsi="Arial" w:cs="Arial"/>
          <w:color w:val="000000" w:themeColor="text1"/>
          <w:sz w:val="24"/>
          <w:szCs w:val="24"/>
          <w:u w:val="single"/>
        </w:rPr>
      </w:pPr>
      <w:r w:rsidRPr="0058461E">
        <w:rPr>
          <w:rFonts w:ascii="Arial" w:hAnsi="Arial" w:cs="Arial"/>
          <w:color w:val="000000" w:themeColor="text1"/>
          <w:sz w:val="24"/>
          <w:szCs w:val="24"/>
          <w:u w:val="single"/>
        </w:rPr>
        <w:t>Procedural Defects</w:t>
      </w:r>
      <w:r>
        <w:rPr>
          <w:rFonts w:ascii="Arial" w:hAnsi="Arial" w:cs="Arial"/>
          <w:color w:val="000000" w:themeColor="text1"/>
          <w:sz w:val="24"/>
          <w:szCs w:val="24"/>
          <w:u w:val="single"/>
        </w:rPr>
        <w:t xml:space="preserve"> (If Any)</w:t>
      </w:r>
    </w:p>
    <w:p w14:paraId="3C9173B6" w14:textId="5E93CA05" w:rsidR="0058461E" w:rsidRDefault="0058461E" w:rsidP="0058461E">
      <w:pPr>
        <w:pStyle w:val="ListParagraph"/>
        <w:numPr>
          <w:ilvl w:val="0"/>
          <w:numId w:val="6"/>
        </w:numPr>
        <w:spacing w:line="360" w:lineRule="auto"/>
        <w:jc w:val="both"/>
        <w:rPr>
          <w:rFonts w:ascii="Arial" w:hAnsi="Arial" w:cs="Arial"/>
          <w:color w:val="000000" w:themeColor="text1"/>
          <w:sz w:val="24"/>
          <w:szCs w:val="24"/>
        </w:rPr>
      </w:pPr>
      <w:r w:rsidRPr="0058461E">
        <w:rPr>
          <w:rFonts w:ascii="Arial" w:hAnsi="Arial" w:cs="Arial"/>
          <w:color w:val="000000" w:themeColor="text1"/>
          <w:sz w:val="24"/>
          <w:szCs w:val="24"/>
        </w:rPr>
        <w:t>The Plaintiff has not provided evidence of compliance with statutory requirements, including proper registration of the charging order as required under the relevant laws.</w:t>
      </w:r>
    </w:p>
    <w:p w14:paraId="18F5AFF0" w14:textId="214B84C7" w:rsidR="0058461E" w:rsidRPr="0058461E" w:rsidRDefault="0058461E" w:rsidP="0058461E">
      <w:pPr>
        <w:pStyle w:val="ListParagraph"/>
        <w:numPr>
          <w:ilvl w:val="0"/>
          <w:numId w:val="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T</w:t>
      </w:r>
      <w:r w:rsidRPr="0058461E">
        <w:rPr>
          <w:rFonts w:ascii="Arial" w:hAnsi="Arial" w:cs="Arial"/>
          <w:color w:val="000000" w:themeColor="text1"/>
          <w:sz w:val="24"/>
          <w:szCs w:val="24"/>
        </w:rPr>
        <w:t>he Defendant has not been served with full and proper disclosure of the judgment debt and related interest calculations.</w:t>
      </w:r>
    </w:p>
    <w:p w14:paraId="30D0E390" w14:textId="62B7F61B" w:rsidR="00E93631" w:rsidRPr="00A572D4" w:rsidRDefault="00A572D4" w:rsidP="00A572D4">
      <w:pPr>
        <w:pStyle w:val="ListParagraph"/>
        <w:numPr>
          <w:ilvl w:val="0"/>
          <w:numId w:val="5"/>
        </w:numPr>
        <w:spacing w:line="360" w:lineRule="auto"/>
        <w:jc w:val="both"/>
        <w:rPr>
          <w:rFonts w:ascii="Arial" w:hAnsi="Arial" w:cs="Arial"/>
          <w:color w:val="000000" w:themeColor="text1"/>
          <w:sz w:val="24"/>
          <w:szCs w:val="24"/>
          <w:u w:val="single"/>
        </w:rPr>
      </w:pPr>
      <w:r w:rsidRPr="00A572D4">
        <w:rPr>
          <w:rFonts w:ascii="Arial" w:hAnsi="Arial" w:cs="Arial"/>
          <w:color w:val="000000" w:themeColor="text1"/>
          <w:sz w:val="24"/>
          <w:szCs w:val="24"/>
          <w:u w:val="single"/>
        </w:rPr>
        <w:lastRenderedPageBreak/>
        <w:t>Independent conduct of sale</w:t>
      </w:r>
    </w:p>
    <w:p w14:paraId="3590AB38" w14:textId="3B3A6D47" w:rsidR="00A572D4" w:rsidRDefault="00A572D4" w:rsidP="00A572D4">
      <w:pPr>
        <w:pStyle w:val="ListParagraph"/>
        <w:numPr>
          <w:ilvl w:val="0"/>
          <w:numId w:val="4"/>
        </w:numPr>
        <w:spacing w:line="360" w:lineRule="auto"/>
        <w:jc w:val="both"/>
        <w:rPr>
          <w:rFonts w:ascii="Arial" w:hAnsi="Arial" w:cs="Arial"/>
          <w:color w:val="000000" w:themeColor="text1"/>
          <w:sz w:val="24"/>
          <w:szCs w:val="24"/>
        </w:rPr>
      </w:pPr>
      <w:r w:rsidRPr="00A572D4">
        <w:rPr>
          <w:rFonts w:ascii="Arial" w:hAnsi="Arial" w:cs="Arial"/>
          <w:b/>
          <w:bCs/>
          <w:color w:val="000000" w:themeColor="text1"/>
          <w:sz w:val="24"/>
          <w:szCs w:val="24"/>
        </w:rPr>
        <w:t>Court appoints the person who will manage the sale</w:t>
      </w:r>
      <w:r>
        <w:rPr>
          <w:rFonts w:ascii="Arial" w:hAnsi="Arial" w:cs="Arial"/>
          <w:color w:val="000000" w:themeColor="text1"/>
          <w:sz w:val="24"/>
          <w:szCs w:val="24"/>
        </w:rPr>
        <w:t>-</w:t>
      </w:r>
      <w:r w:rsidRPr="00A572D4">
        <w:t xml:space="preserve"> </w:t>
      </w:r>
      <w:r w:rsidRPr="00A572D4">
        <w:rPr>
          <w:rFonts w:ascii="Arial" w:hAnsi="Arial" w:cs="Arial"/>
          <w:color w:val="000000" w:themeColor="text1"/>
          <w:sz w:val="24"/>
          <w:szCs w:val="24"/>
        </w:rPr>
        <w:t>The Plaintiff should not be given sole conduct of the sale, as this creates a risk of undervaluation and conflict of interest. An independent officer of the Court or trustee should be appointed.</w:t>
      </w:r>
    </w:p>
    <w:p w14:paraId="4195F13F" w14:textId="627ABA37" w:rsidR="00A572D4" w:rsidRDefault="00A572D4" w:rsidP="00A572D4">
      <w:pPr>
        <w:pStyle w:val="ListParagraph"/>
        <w:numPr>
          <w:ilvl w:val="0"/>
          <w:numId w:val="4"/>
        </w:numPr>
        <w:spacing w:line="360" w:lineRule="auto"/>
        <w:jc w:val="both"/>
        <w:rPr>
          <w:rFonts w:ascii="Arial" w:hAnsi="Arial" w:cs="Arial"/>
          <w:color w:val="000000" w:themeColor="text1"/>
          <w:sz w:val="24"/>
          <w:szCs w:val="24"/>
        </w:rPr>
      </w:pPr>
      <w:r w:rsidRPr="00A572D4">
        <w:rPr>
          <w:rFonts w:ascii="Arial" w:hAnsi="Arial" w:cs="Arial"/>
          <w:color w:val="000000" w:themeColor="text1"/>
          <w:sz w:val="24"/>
          <w:szCs w:val="24"/>
        </w:rPr>
        <w:t xml:space="preserve"> </w:t>
      </w:r>
      <w:r w:rsidRPr="0058461E">
        <w:rPr>
          <w:rFonts w:ascii="Arial" w:hAnsi="Arial" w:cs="Arial"/>
          <w:b/>
          <w:bCs/>
          <w:color w:val="000000" w:themeColor="text1"/>
          <w:sz w:val="24"/>
          <w:szCs w:val="24"/>
        </w:rPr>
        <w:t>Court decides the method of sale</w:t>
      </w:r>
      <w:r w:rsidRPr="00A572D4">
        <w:rPr>
          <w:rFonts w:ascii="Arial" w:hAnsi="Arial" w:cs="Arial"/>
          <w:color w:val="000000" w:themeColor="text1"/>
          <w:sz w:val="24"/>
          <w:szCs w:val="24"/>
        </w:rPr>
        <w:t xml:space="preserve"> (tender, auction, etc.).</w:t>
      </w:r>
      <w:r>
        <w:rPr>
          <w:rFonts w:ascii="Arial" w:hAnsi="Arial" w:cs="Arial"/>
          <w:color w:val="000000" w:themeColor="text1"/>
          <w:sz w:val="24"/>
          <w:szCs w:val="24"/>
        </w:rPr>
        <w:t xml:space="preserve"> (IN THIS CASE PLAINTIFF IS PROPOSING TENDER)- </w:t>
      </w:r>
    </w:p>
    <w:p w14:paraId="04BA0D29" w14:textId="77777777" w:rsidR="00A572D4" w:rsidRPr="0058461E" w:rsidRDefault="00A572D4" w:rsidP="00A572D4">
      <w:pPr>
        <w:pStyle w:val="ListParagraph"/>
        <w:numPr>
          <w:ilvl w:val="0"/>
          <w:numId w:val="4"/>
        </w:numPr>
        <w:spacing w:line="360" w:lineRule="auto"/>
        <w:jc w:val="both"/>
        <w:rPr>
          <w:rFonts w:ascii="Arial" w:hAnsi="Arial" w:cs="Arial"/>
          <w:b/>
          <w:bCs/>
          <w:color w:val="000000" w:themeColor="text1"/>
          <w:sz w:val="24"/>
          <w:szCs w:val="24"/>
        </w:rPr>
      </w:pPr>
      <w:r w:rsidRPr="0058461E">
        <w:rPr>
          <w:rFonts w:ascii="Arial" w:hAnsi="Arial" w:cs="Arial"/>
          <w:b/>
          <w:bCs/>
          <w:color w:val="000000" w:themeColor="text1"/>
          <w:sz w:val="24"/>
          <w:szCs w:val="24"/>
        </w:rPr>
        <w:t>Court may fix a minimum reserve price.</w:t>
      </w:r>
    </w:p>
    <w:p w14:paraId="53FF476D" w14:textId="77777777" w:rsidR="00A572D4" w:rsidRPr="0058461E" w:rsidRDefault="00A572D4" w:rsidP="00A572D4">
      <w:pPr>
        <w:pStyle w:val="ListParagraph"/>
        <w:numPr>
          <w:ilvl w:val="0"/>
          <w:numId w:val="4"/>
        </w:numPr>
        <w:spacing w:line="360" w:lineRule="auto"/>
        <w:jc w:val="both"/>
        <w:rPr>
          <w:rFonts w:ascii="Arial" w:hAnsi="Arial" w:cs="Arial"/>
          <w:b/>
          <w:bCs/>
          <w:color w:val="000000" w:themeColor="text1"/>
          <w:sz w:val="24"/>
          <w:szCs w:val="24"/>
        </w:rPr>
      </w:pPr>
      <w:r w:rsidRPr="0058461E">
        <w:rPr>
          <w:rFonts w:ascii="Arial" w:hAnsi="Arial" w:cs="Arial"/>
          <w:b/>
          <w:bCs/>
          <w:color w:val="000000" w:themeColor="text1"/>
          <w:sz w:val="24"/>
          <w:szCs w:val="24"/>
        </w:rPr>
        <w:t xml:space="preserve">Court directs where the purchase money is to be paid </w:t>
      </w:r>
      <w:r w:rsidRPr="0058461E">
        <w:rPr>
          <w:rFonts w:ascii="Arial" w:hAnsi="Arial" w:cs="Arial"/>
          <w:color w:val="000000" w:themeColor="text1"/>
          <w:sz w:val="24"/>
          <w:szCs w:val="24"/>
        </w:rPr>
        <w:t>(usually into Court).</w:t>
      </w:r>
    </w:p>
    <w:p w14:paraId="4BC2F55F" w14:textId="77777777" w:rsidR="00A572D4" w:rsidRPr="0058461E" w:rsidRDefault="00A572D4" w:rsidP="00A572D4">
      <w:pPr>
        <w:pStyle w:val="ListParagraph"/>
        <w:numPr>
          <w:ilvl w:val="0"/>
          <w:numId w:val="4"/>
        </w:numPr>
        <w:spacing w:line="360" w:lineRule="auto"/>
        <w:jc w:val="both"/>
        <w:rPr>
          <w:rFonts w:ascii="Arial" w:hAnsi="Arial" w:cs="Arial"/>
          <w:b/>
          <w:bCs/>
          <w:color w:val="000000" w:themeColor="text1"/>
          <w:sz w:val="24"/>
          <w:szCs w:val="24"/>
        </w:rPr>
      </w:pPr>
      <w:r w:rsidRPr="0058461E">
        <w:rPr>
          <w:rFonts w:ascii="Arial" w:hAnsi="Arial" w:cs="Arial"/>
          <w:b/>
          <w:bCs/>
          <w:color w:val="000000" w:themeColor="text1"/>
          <w:sz w:val="24"/>
          <w:szCs w:val="24"/>
        </w:rPr>
        <w:t>Court requires a valuation report to be filed.</w:t>
      </w:r>
    </w:p>
    <w:p w14:paraId="4904BE6B" w14:textId="0ECC3068" w:rsidR="00A572D4" w:rsidRDefault="00A572D4" w:rsidP="001E2C18">
      <w:pPr>
        <w:pStyle w:val="ListParagraph"/>
        <w:numPr>
          <w:ilvl w:val="0"/>
          <w:numId w:val="4"/>
        </w:numPr>
        <w:spacing w:line="360" w:lineRule="auto"/>
        <w:jc w:val="both"/>
        <w:rPr>
          <w:rFonts w:ascii="Arial" w:hAnsi="Arial" w:cs="Arial"/>
          <w:b/>
          <w:bCs/>
          <w:color w:val="000000" w:themeColor="text1"/>
          <w:sz w:val="24"/>
          <w:szCs w:val="24"/>
        </w:rPr>
      </w:pPr>
      <w:r w:rsidRPr="0058461E">
        <w:rPr>
          <w:rFonts w:ascii="Arial" w:hAnsi="Arial" w:cs="Arial"/>
          <w:b/>
          <w:bCs/>
          <w:color w:val="000000" w:themeColor="text1"/>
          <w:sz w:val="24"/>
          <w:szCs w:val="24"/>
        </w:rPr>
        <w:t>Court issues any further orders needed to ensure a fair sale</w:t>
      </w:r>
    </w:p>
    <w:p w14:paraId="4D96FFB5" w14:textId="77777777" w:rsidR="008331E8" w:rsidRPr="0058461E" w:rsidRDefault="008331E8" w:rsidP="008331E8">
      <w:pPr>
        <w:pStyle w:val="ListParagraph"/>
        <w:spacing w:line="360" w:lineRule="auto"/>
        <w:jc w:val="both"/>
        <w:rPr>
          <w:rFonts w:ascii="Arial" w:hAnsi="Arial" w:cs="Arial"/>
          <w:b/>
          <w:bCs/>
          <w:color w:val="000000" w:themeColor="text1"/>
          <w:sz w:val="24"/>
          <w:szCs w:val="24"/>
        </w:rPr>
      </w:pPr>
    </w:p>
    <w:p w14:paraId="3DE7B74F" w14:textId="77777777" w:rsidR="008331E8" w:rsidRDefault="008331E8" w:rsidP="008331E8">
      <w:pPr>
        <w:pStyle w:val="ListParagraph"/>
        <w:numPr>
          <w:ilvl w:val="0"/>
          <w:numId w:val="5"/>
        </w:numPr>
        <w:spacing w:line="360" w:lineRule="auto"/>
        <w:jc w:val="both"/>
        <w:rPr>
          <w:rFonts w:ascii="Arial" w:hAnsi="Arial" w:cs="Arial"/>
          <w:color w:val="000000" w:themeColor="text1"/>
          <w:sz w:val="24"/>
          <w:szCs w:val="24"/>
          <w:u w:val="single"/>
        </w:rPr>
      </w:pPr>
      <w:r w:rsidRPr="008331E8">
        <w:rPr>
          <w:rFonts w:ascii="Arial" w:hAnsi="Arial" w:cs="Arial"/>
          <w:color w:val="000000" w:themeColor="text1"/>
          <w:sz w:val="24"/>
          <w:szCs w:val="24"/>
          <w:u w:val="single"/>
        </w:rPr>
        <w:t>Dispute as to Debt/Amount Owed</w:t>
      </w:r>
    </w:p>
    <w:p w14:paraId="48E1C0CD" w14:textId="77777777" w:rsidR="008331E8" w:rsidRPr="008331E8" w:rsidRDefault="008331E8" w:rsidP="008331E8">
      <w:pPr>
        <w:pStyle w:val="ListParagraph"/>
        <w:numPr>
          <w:ilvl w:val="0"/>
          <w:numId w:val="7"/>
        </w:numPr>
        <w:spacing w:line="360" w:lineRule="auto"/>
        <w:jc w:val="both"/>
        <w:rPr>
          <w:rFonts w:ascii="Arial" w:hAnsi="Arial" w:cs="Arial"/>
          <w:color w:val="000000" w:themeColor="text1"/>
          <w:sz w:val="24"/>
          <w:szCs w:val="24"/>
          <w:u w:val="single"/>
        </w:rPr>
      </w:pPr>
      <w:r w:rsidRPr="008331E8">
        <w:rPr>
          <w:rFonts w:ascii="Arial" w:hAnsi="Arial" w:cs="Arial"/>
          <w:color w:val="000000" w:themeColor="text1"/>
          <w:sz w:val="24"/>
          <w:szCs w:val="24"/>
        </w:rPr>
        <w:t>The debt claimed is overstated and does not reflect payments already made.</w:t>
      </w:r>
    </w:p>
    <w:p w14:paraId="36034D56" w14:textId="1D7FBF7C" w:rsidR="008331E8" w:rsidRPr="008331E8" w:rsidRDefault="008331E8" w:rsidP="008331E8">
      <w:pPr>
        <w:pStyle w:val="ListParagraph"/>
        <w:numPr>
          <w:ilvl w:val="0"/>
          <w:numId w:val="7"/>
        </w:numPr>
        <w:spacing w:line="360" w:lineRule="auto"/>
        <w:jc w:val="both"/>
        <w:rPr>
          <w:rFonts w:ascii="Arial" w:hAnsi="Arial" w:cs="Arial"/>
          <w:color w:val="000000" w:themeColor="text1"/>
          <w:sz w:val="24"/>
          <w:szCs w:val="24"/>
          <w:u w:val="single"/>
        </w:rPr>
      </w:pPr>
      <w:r w:rsidRPr="008331E8">
        <w:rPr>
          <w:rFonts w:ascii="Arial" w:hAnsi="Arial" w:cs="Arial"/>
          <w:color w:val="000000" w:themeColor="text1"/>
          <w:sz w:val="24"/>
          <w:szCs w:val="24"/>
        </w:rPr>
        <w:t>The Plaintiff’s calculations of interest and penalties are excessive and not in accordance with the judgment/order.</w:t>
      </w:r>
    </w:p>
    <w:p w14:paraId="0EDCECD7" w14:textId="77777777" w:rsidR="008331E8" w:rsidRDefault="008331E8" w:rsidP="001E2C18">
      <w:pPr>
        <w:spacing w:line="360" w:lineRule="auto"/>
        <w:jc w:val="both"/>
        <w:rPr>
          <w:rFonts w:ascii="Arial" w:hAnsi="Arial" w:cs="Arial"/>
          <w:b/>
          <w:bCs/>
          <w:color w:val="000000" w:themeColor="text1"/>
          <w:sz w:val="24"/>
          <w:szCs w:val="24"/>
        </w:rPr>
      </w:pPr>
    </w:p>
    <w:p w14:paraId="558C2D8F" w14:textId="77777777" w:rsidR="00F75B78" w:rsidRPr="001E2C18" w:rsidRDefault="00F75B78" w:rsidP="001E2C18">
      <w:pPr>
        <w:spacing w:line="360" w:lineRule="auto"/>
        <w:jc w:val="both"/>
        <w:rPr>
          <w:rFonts w:ascii="Arial" w:hAnsi="Arial" w:cs="Arial"/>
          <w:color w:val="000000" w:themeColor="text1"/>
          <w:sz w:val="24"/>
          <w:szCs w:val="24"/>
        </w:rPr>
      </w:pPr>
    </w:p>
    <w:p w14:paraId="3D0AA9F3" w14:textId="32574559" w:rsidR="001E2C18" w:rsidRPr="001E2C18" w:rsidRDefault="001E2C18" w:rsidP="001E2C18">
      <w:pPr>
        <w:spacing w:line="360" w:lineRule="auto"/>
        <w:jc w:val="both"/>
        <w:rPr>
          <w:rFonts w:ascii="Arial" w:hAnsi="Arial" w:cs="Arial"/>
          <w:sz w:val="24"/>
          <w:szCs w:val="24"/>
        </w:rPr>
      </w:pPr>
    </w:p>
    <w:sectPr w:rsidR="001E2C18" w:rsidRPr="001E2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A49"/>
    <w:multiLevelType w:val="hybridMultilevel"/>
    <w:tmpl w:val="D6BC7BC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A725B5D"/>
    <w:multiLevelType w:val="hybridMultilevel"/>
    <w:tmpl w:val="AAC6166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C4F1E00"/>
    <w:multiLevelType w:val="hybridMultilevel"/>
    <w:tmpl w:val="4D4A5D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27794A"/>
    <w:multiLevelType w:val="hybridMultilevel"/>
    <w:tmpl w:val="DB6C805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B7E03FD"/>
    <w:multiLevelType w:val="hybridMultilevel"/>
    <w:tmpl w:val="07221150"/>
    <w:lvl w:ilvl="0" w:tplc="E6005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61B3E85"/>
    <w:multiLevelType w:val="multilevel"/>
    <w:tmpl w:val="7A76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42773"/>
    <w:multiLevelType w:val="hybridMultilevel"/>
    <w:tmpl w:val="3A0ADE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85215941">
    <w:abstractNumId w:val="1"/>
  </w:num>
  <w:num w:numId="2" w16cid:durableId="1952978605">
    <w:abstractNumId w:val="2"/>
  </w:num>
  <w:num w:numId="3" w16cid:durableId="1511870798">
    <w:abstractNumId w:val="5"/>
  </w:num>
  <w:num w:numId="4" w16cid:durableId="1075316831">
    <w:abstractNumId w:val="6"/>
  </w:num>
  <w:num w:numId="5" w16cid:durableId="1555385905">
    <w:abstractNumId w:val="4"/>
  </w:num>
  <w:num w:numId="6" w16cid:durableId="1456564669">
    <w:abstractNumId w:val="3"/>
  </w:num>
  <w:num w:numId="7" w16cid:durableId="24657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15"/>
    <w:rsid w:val="0009087F"/>
    <w:rsid w:val="00151115"/>
    <w:rsid w:val="001E2C18"/>
    <w:rsid w:val="0058461E"/>
    <w:rsid w:val="008331E8"/>
    <w:rsid w:val="0083795C"/>
    <w:rsid w:val="009E37D5"/>
    <w:rsid w:val="00A572D4"/>
    <w:rsid w:val="00BB1A15"/>
    <w:rsid w:val="00D36E44"/>
    <w:rsid w:val="00E20D72"/>
    <w:rsid w:val="00E93631"/>
    <w:rsid w:val="00F43015"/>
    <w:rsid w:val="00F75B78"/>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421C"/>
  <w15:chartTrackingRefBased/>
  <w15:docId w15:val="{F59FA677-8A17-4767-A5EB-8F2364CC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15"/>
    <w:rPr>
      <w:rFonts w:eastAsiaTheme="majorEastAsia" w:cstheme="majorBidi"/>
      <w:color w:val="272727" w:themeColor="text1" w:themeTint="D8"/>
    </w:rPr>
  </w:style>
  <w:style w:type="paragraph" w:styleId="Title">
    <w:name w:val="Title"/>
    <w:basedOn w:val="Normal"/>
    <w:next w:val="Normal"/>
    <w:link w:val="TitleChar"/>
    <w:uiPriority w:val="10"/>
    <w:qFormat/>
    <w:rsid w:val="00151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115"/>
    <w:rPr>
      <w:i/>
      <w:iCs/>
      <w:color w:val="404040" w:themeColor="text1" w:themeTint="BF"/>
    </w:rPr>
  </w:style>
  <w:style w:type="paragraph" w:styleId="ListParagraph">
    <w:name w:val="List Paragraph"/>
    <w:basedOn w:val="Normal"/>
    <w:uiPriority w:val="34"/>
    <w:qFormat/>
    <w:rsid w:val="00151115"/>
    <w:pPr>
      <w:ind w:left="720"/>
      <w:contextualSpacing/>
    </w:pPr>
  </w:style>
  <w:style w:type="character" w:styleId="IntenseEmphasis">
    <w:name w:val="Intense Emphasis"/>
    <w:basedOn w:val="DefaultParagraphFont"/>
    <w:uiPriority w:val="21"/>
    <w:qFormat/>
    <w:rsid w:val="00151115"/>
    <w:rPr>
      <w:i/>
      <w:iCs/>
      <w:color w:val="2F5496" w:themeColor="accent1" w:themeShade="BF"/>
    </w:rPr>
  </w:style>
  <w:style w:type="paragraph" w:styleId="IntenseQuote">
    <w:name w:val="Intense Quote"/>
    <w:basedOn w:val="Normal"/>
    <w:next w:val="Normal"/>
    <w:link w:val="IntenseQuoteChar"/>
    <w:uiPriority w:val="30"/>
    <w:qFormat/>
    <w:rsid w:val="00151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115"/>
    <w:rPr>
      <w:i/>
      <w:iCs/>
      <w:color w:val="2F5496" w:themeColor="accent1" w:themeShade="BF"/>
    </w:rPr>
  </w:style>
  <w:style w:type="character" w:styleId="IntenseReference">
    <w:name w:val="Intense Reference"/>
    <w:basedOn w:val="DefaultParagraphFont"/>
    <w:uiPriority w:val="32"/>
    <w:qFormat/>
    <w:rsid w:val="00151115"/>
    <w:rPr>
      <w:b/>
      <w:bCs/>
      <w:smallCaps/>
      <w:color w:val="2F5496" w:themeColor="accent1" w:themeShade="BF"/>
      <w:spacing w:val="5"/>
    </w:rPr>
  </w:style>
  <w:style w:type="paragraph" w:styleId="NormalWeb">
    <w:name w:val="Normal (Web)"/>
    <w:basedOn w:val="Normal"/>
    <w:uiPriority w:val="99"/>
    <w:semiHidden/>
    <w:unhideWhenUsed/>
    <w:rsid w:val="00F430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2025-09-21T22:00:00Z</dcterms:created>
  <dcterms:modified xsi:type="dcterms:W3CDTF">2025-09-21T23:42:00Z</dcterms:modified>
</cp:coreProperties>
</file>